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9F527F" w:rsidTr="009F527F">
        <w:trPr>
          <w:cantSplit/>
          <w:trHeight w:val="1141"/>
        </w:trPr>
        <w:tc>
          <w:tcPr>
            <w:tcW w:w="4360" w:type="dxa"/>
          </w:tcPr>
          <w:p w:rsidR="009F527F" w:rsidRDefault="009F527F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9F527F" w:rsidRDefault="009F527F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9F527F" w:rsidRDefault="009F527F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9F527F" w:rsidRDefault="009F527F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9F527F" w:rsidRDefault="009F527F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9F527F" w:rsidRDefault="009F527F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9F527F" w:rsidRDefault="009F527F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9F527F" w:rsidRDefault="009F527F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D49D0DF" wp14:editId="7820C039">
                  <wp:extent cx="76327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F527F" w:rsidRDefault="009F527F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9F527F" w:rsidRDefault="009F527F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9F527F" w:rsidRDefault="009F52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9F527F" w:rsidRDefault="009F52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9F527F" w:rsidRDefault="009F527F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9F527F" w:rsidRDefault="009F527F" w:rsidP="009F527F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527F" w:rsidTr="009F527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F527F" w:rsidRDefault="009F527F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9F527F" w:rsidRDefault="009F527F" w:rsidP="009F527F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9F527F" w:rsidTr="009F527F">
        <w:tc>
          <w:tcPr>
            <w:tcW w:w="4363" w:type="dxa"/>
            <w:hideMark/>
          </w:tcPr>
          <w:p w:rsidR="009F527F" w:rsidRDefault="009F527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9F527F" w:rsidRDefault="009F527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9F527F" w:rsidRDefault="009F527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9F527F" w:rsidRDefault="009F527F" w:rsidP="009F527F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9F527F" w:rsidTr="009F527F">
        <w:tc>
          <w:tcPr>
            <w:tcW w:w="4360" w:type="dxa"/>
            <w:hideMark/>
          </w:tcPr>
          <w:p w:rsidR="009F527F" w:rsidRDefault="009F5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16 »  сентября </w:t>
            </w:r>
            <w:r>
              <w:rPr>
                <w:sz w:val="28"/>
                <w:szCs w:val="28"/>
                <w:lang w:eastAsia="en-US"/>
              </w:rPr>
              <w:t xml:space="preserve"> 2019й.</w:t>
            </w:r>
          </w:p>
        </w:tc>
        <w:tc>
          <w:tcPr>
            <w:tcW w:w="1396" w:type="dxa"/>
            <w:hideMark/>
          </w:tcPr>
          <w:p w:rsidR="009F527F" w:rsidRDefault="009F5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72</w:t>
            </w:r>
          </w:p>
        </w:tc>
        <w:tc>
          <w:tcPr>
            <w:tcW w:w="4557" w:type="dxa"/>
            <w:hideMark/>
          </w:tcPr>
          <w:p w:rsidR="009F527F" w:rsidRDefault="009F527F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  16 » сентября </w:t>
            </w:r>
            <w:r>
              <w:rPr>
                <w:sz w:val="28"/>
                <w:szCs w:val="28"/>
                <w:lang w:eastAsia="en-US"/>
              </w:rPr>
              <w:t xml:space="preserve">  2019г.</w:t>
            </w:r>
          </w:p>
        </w:tc>
      </w:tr>
    </w:tbl>
    <w:p w:rsidR="009F527F" w:rsidRDefault="009F527F" w:rsidP="009F527F">
      <w:pPr>
        <w:jc w:val="center"/>
        <w:rPr>
          <w:sz w:val="24"/>
          <w:szCs w:val="24"/>
        </w:rPr>
      </w:pPr>
    </w:p>
    <w:p w:rsidR="009F527F" w:rsidRDefault="009F527F" w:rsidP="009F527F">
      <w:pPr>
        <w:jc w:val="center"/>
        <w:rPr>
          <w:b/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присвоении почтового адреса объекту недвижимости</w:t>
      </w: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Согласно п.7 ст.7 Федерального закона от 24.07.2007 г. №221-ФЗ «О государственном кадастре недвижимости» и ФЗ №131 «Об общих принципах местного самоуправления в Российской Федерации» администрация сельского поселения Буруновский сельсовет МР Гафурийский район РБ постановила:</w:t>
      </w: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1.Объекту недвижимости, жилому дому без  кадастрового номера, расположенного на земельном участке с када</w:t>
      </w:r>
      <w:r>
        <w:rPr>
          <w:sz w:val="24"/>
          <w:szCs w:val="24"/>
        </w:rPr>
        <w:t>стровым номером  02:19:230601: 0082</w:t>
      </w:r>
      <w:r>
        <w:rPr>
          <w:sz w:val="24"/>
          <w:szCs w:val="24"/>
        </w:rPr>
        <w:t xml:space="preserve">  присвоить почтовый адрес: Российская Федерация, Республика Башкортостан, Гафурийский район, д.Базиково,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д.37</w:t>
      </w:r>
      <w:bookmarkStart w:id="0" w:name="_GoBack"/>
      <w:bookmarkEnd w:id="0"/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2.Контроль над исполнением данного постановления оставляю за собой.</w:t>
      </w: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</w:t>
      </w: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F527F" w:rsidRDefault="009F527F" w:rsidP="009F52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9F527F" w:rsidRDefault="009F527F" w:rsidP="009F527F">
      <w:r>
        <w:rPr>
          <w:sz w:val="24"/>
          <w:szCs w:val="24"/>
        </w:rPr>
        <w:t xml:space="preserve">МР Гафурийский район РБ                                               </w:t>
      </w:r>
      <w:proofErr w:type="spellStart"/>
      <w:r>
        <w:rPr>
          <w:sz w:val="24"/>
          <w:szCs w:val="24"/>
        </w:rPr>
        <w:t>А.М.Абдуллин</w:t>
      </w:r>
      <w:proofErr w:type="spellEnd"/>
    </w:p>
    <w:p w:rsidR="00B70A71" w:rsidRDefault="00B70A71"/>
    <w:sectPr w:rsidR="00B7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E"/>
    <w:rsid w:val="009F527F"/>
    <w:rsid w:val="00B70A71"/>
    <w:rsid w:val="00E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Krokoz™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2019-09-16T04:59:00Z</dcterms:created>
  <dcterms:modified xsi:type="dcterms:W3CDTF">2019-09-16T05:01:00Z</dcterms:modified>
</cp:coreProperties>
</file>