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4E" w:rsidRPr="00E71024" w:rsidRDefault="00336E4E" w:rsidP="00336E4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22" w:type="pct"/>
        <w:tblInd w:w="-886" w:type="dxa"/>
        <w:tblCellMar>
          <w:left w:w="107" w:type="dxa"/>
          <w:right w:w="107" w:type="dxa"/>
        </w:tblCellMar>
        <w:tblLook w:val="0000"/>
      </w:tblPr>
      <w:tblGrid>
        <w:gridCol w:w="4954"/>
        <w:gridCol w:w="1588"/>
        <w:gridCol w:w="4177"/>
        <w:gridCol w:w="232"/>
      </w:tblGrid>
      <w:tr w:rsidR="00336E4E" w:rsidRPr="00A1595B" w:rsidTr="00115F83">
        <w:trPr>
          <w:gridAfter w:val="1"/>
          <w:wAfter w:w="105" w:type="pct"/>
          <w:cantSplit/>
          <w:trHeight w:val="1141"/>
        </w:trPr>
        <w:tc>
          <w:tcPr>
            <w:tcW w:w="2262" w:type="pct"/>
          </w:tcPr>
          <w:p w:rsidR="00336E4E" w:rsidRPr="00A1595B" w:rsidRDefault="00336E4E" w:rsidP="00115F8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70C0"/>
                <w:sz w:val="20"/>
                <w:szCs w:val="20"/>
              </w:rPr>
            </w:pPr>
            <w:r w:rsidRPr="00A1595B">
              <w:rPr>
                <w:rFonts w:ascii="Times Cyr Bash Normal" w:eastAsia="Times New Roman" w:hAnsi="Times Cyr Bash Normal" w:cs="Times New Roman"/>
                <w:b/>
                <w:color w:val="0070C0"/>
                <w:sz w:val="20"/>
                <w:szCs w:val="20"/>
              </w:rPr>
              <w:t>БАШ</w:t>
            </w:r>
            <w:proofErr w:type="gramStart"/>
            <w:r w:rsidRPr="00A1595B">
              <w:rPr>
                <w:rFonts w:ascii="Times Cyr Bash Normal" w:eastAsia="Times New Roman" w:hAnsi="Times Cyr Bash Normal" w:cs="Times New Roman"/>
                <w:b/>
                <w:color w:val="0070C0"/>
                <w:sz w:val="20"/>
                <w:szCs w:val="20"/>
              </w:rPr>
              <w:t>?О</w:t>
            </w:r>
            <w:proofErr w:type="gramEnd"/>
            <w:r w:rsidRPr="00A1595B">
              <w:rPr>
                <w:rFonts w:ascii="Times Cyr Bash Normal" w:eastAsia="Times New Roman" w:hAnsi="Times Cyr Bash Normal" w:cs="Times New Roman"/>
                <w:b/>
                <w:color w:val="0070C0"/>
                <w:sz w:val="20"/>
                <w:szCs w:val="20"/>
              </w:rPr>
              <w:t>РТОСТАН РЕСПУБЛИКА¹Ы</w:t>
            </w:r>
          </w:p>
          <w:p w:rsidR="00336E4E" w:rsidRDefault="00336E4E" w:rsidP="00115F8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70C0"/>
                <w:sz w:val="20"/>
                <w:szCs w:val="20"/>
              </w:rPr>
            </w:pPr>
            <w:r w:rsidRPr="00A1595B">
              <w:rPr>
                <w:rFonts w:ascii="Times Cyr Bash Normal" w:eastAsia="Times New Roman" w:hAnsi="Times Cyr Bash Normal" w:cs="Times New Roman"/>
                <w:b/>
                <w:color w:val="0070C0"/>
                <w:sz w:val="20"/>
                <w:szCs w:val="20"/>
              </w:rPr>
              <w:t xml:space="preserve">;АФУРИ РАЙОНЫ </w:t>
            </w:r>
          </w:p>
          <w:p w:rsidR="00336E4E" w:rsidRDefault="00336E4E" w:rsidP="00115F8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70C0"/>
                <w:sz w:val="20"/>
                <w:szCs w:val="20"/>
              </w:rPr>
            </w:pPr>
            <w:r w:rsidRPr="00A1595B">
              <w:rPr>
                <w:rFonts w:ascii="Times Cyr Bash Normal" w:eastAsia="Times New Roman" w:hAnsi="Times Cyr Bash Normal" w:cs="Times New Roman"/>
                <w:b/>
                <w:color w:val="0070C0"/>
                <w:sz w:val="20"/>
                <w:szCs w:val="20"/>
              </w:rPr>
              <w:t>МУНИЦИПАЛЬ РАЙОН</w:t>
            </w:r>
            <w:r>
              <w:rPr>
                <w:rFonts w:ascii="Times Cyr Bash Normal" w:eastAsia="Times New Roman" w:hAnsi="Times Cyr Bash Normal" w:cs="Times New Roman"/>
                <w:b/>
                <w:color w:val="0070C0"/>
                <w:sz w:val="20"/>
                <w:szCs w:val="20"/>
              </w:rPr>
              <w:t>ЫНЫ*</w:t>
            </w:r>
          </w:p>
          <w:p w:rsidR="00336E4E" w:rsidRPr="00A1595B" w:rsidRDefault="00336E4E" w:rsidP="00115F8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Cyr Bash Normal" w:eastAsia="Times New Roman" w:hAnsi="Times Cyr Bash Normal" w:cs="Times New Roman"/>
                <w:b/>
                <w:color w:val="0070C0"/>
                <w:sz w:val="28"/>
                <w:szCs w:val="28"/>
              </w:rPr>
              <w:t xml:space="preserve">БУРУНОВКА </w:t>
            </w:r>
            <w:r w:rsidRPr="00A1595B">
              <w:rPr>
                <w:rFonts w:ascii="Times Cyr Bash Normal" w:eastAsia="Times New Roman" w:hAnsi="Times Cyr Bash Normal" w:cs="Times New Roman"/>
                <w:b/>
                <w:color w:val="0070C0"/>
                <w:sz w:val="28"/>
                <w:szCs w:val="28"/>
              </w:rPr>
              <w:t>АУЫЛ СОВЕТЫ</w:t>
            </w:r>
          </w:p>
          <w:p w:rsidR="00336E4E" w:rsidRPr="00A1595B" w:rsidRDefault="00336E4E" w:rsidP="00115F8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70C0"/>
                <w:sz w:val="28"/>
                <w:szCs w:val="28"/>
              </w:rPr>
            </w:pPr>
            <w:r w:rsidRPr="00A1595B">
              <w:rPr>
                <w:rFonts w:ascii="Times Cyr Bash Normal" w:eastAsia="Times New Roman" w:hAnsi="Times Cyr Bash Normal" w:cs="Times New Roman"/>
                <w:b/>
                <w:color w:val="0070C0"/>
                <w:sz w:val="28"/>
                <w:szCs w:val="28"/>
              </w:rPr>
              <w:t>АУЫЛ БИЛ</w:t>
            </w:r>
            <w:r w:rsidRPr="00A1595B">
              <w:rPr>
                <w:rFonts w:ascii="Times Cyr Bash Normal" w:eastAsia="Times New Roman" w:hAnsi="Times Cyr Bash Normal" w:cs="Times New Roman"/>
                <w:b/>
                <w:color w:val="0070C0"/>
                <w:sz w:val="28"/>
                <w:szCs w:val="28"/>
              </w:rPr>
              <w:sym w:font="ATimes" w:char="F041"/>
            </w:r>
            <w:r w:rsidRPr="00A1595B">
              <w:rPr>
                <w:rFonts w:ascii="Times Cyr Bash Normal" w:eastAsia="Times New Roman" w:hAnsi="Times Cyr Bash Normal" w:cs="Times New Roman"/>
                <w:b/>
                <w:color w:val="0070C0"/>
                <w:sz w:val="28"/>
                <w:szCs w:val="28"/>
              </w:rPr>
              <w:t>М</w:t>
            </w:r>
            <w:r w:rsidRPr="00A1595B">
              <w:rPr>
                <w:rFonts w:ascii="Times Cyr Bash Normal" w:eastAsia="Times New Roman" w:hAnsi="Times Cyr Bash Normal" w:cs="Times New Roman"/>
                <w:b/>
                <w:color w:val="0070C0"/>
                <w:sz w:val="28"/>
                <w:szCs w:val="28"/>
              </w:rPr>
              <w:sym w:font="ATimes" w:char="F041"/>
            </w:r>
            <w:r w:rsidRPr="00A1595B">
              <w:rPr>
                <w:rFonts w:ascii="Times Cyr Bash Normal" w:eastAsia="Times New Roman" w:hAnsi="Times Cyr Bash Normal" w:cs="Times New Roman"/>
                <w:b/>
                <w:color w:val="0070C0"/>
                <w:sz w:val="28"/>
                <w:szCs w:val="28"/>
              </w:rPr>
              <w:t xml:space="preserve">№Е </w:t>
            </w:r>
          </w:p>
          <w:p w:rsidR="00336E4E" w:rsidRPr="00A1595B" w:rsidRDefault="00336E4E" w:rsidP="00115F83">
            <w:pPr>
              <w:keepNext/>
              <w:spacing w:after="0" w:line="240" w:lineRule="auto"/>
              <w:jc w:val="center"/>
              <w:outlineLvl w:val="6"/>
              <w:rPr>
                <w:rFonts w:ascii="Arial New Bash" w:eastAsia="Times New Roman" w:hAnsi="Arial New Bash" w:cs="Arial"/>
                <w:b/>
                <w:bCs/>
                <w:sz w:val="28"/>
                <w:szCs w:val="28"/>
              </w:rPr>
            </w:pPr>
            <w:r w:rsidRPr="00A1595B">
              <w:rPr>
                <w:rFonts w:ascii="Times Cyr Bash Normal" w:eastAsia="Times New Roman" w:hAnsi="Times Cyr Bash Normal" w:cs="Arial"/>
                <w:b/>
                <w:color w:val="0070C0"/>
                <w:sz w:val="28"/>
                <w:szCs w:val="28"/>
              </w:rPr>
              <w:t>СОВЕТЫ</w:t>
            </w:r>
          </w:p>
        </w:tc>
        <w:tc>
          <w:tcPr>
            <w:tcW w:w="725" w:type="pct"/>
            <w:vMerge w:val="restart"/>
          </w:tcPr>
          <w:p w:rsidR="00336E4E" w:rsidRPr="00A1595B" w:rsidRDefault="00336E4E" w:rsidP="00115F8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937895" cy="1163955"/>
                  <wp:effectExtent l="0" t="0" r="0" b="0"/>
                  <wp:docPr id="2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pct"/>
          </w:tcPr>
          <w:p w:rsidR="00336E4E" w:rsidRPr="00A1595B" w:rsidRDefault="00336E4E" w:rsidP="00115F8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70C0"/>
                <w:sz w:val="28"/>
                <w:szCs w:val="28"/>
              </w:rPr>
            </w:pPr>
            <w:r w:rsidRPr="00A1595B">
              <w:rPr>
                <w:rFonts w:ascii="Times Cyr Bash Normal" w:eastAsia="Times New Roman" w:hAnsi="Times Cyr Bash Normal" w:cs="Times New Roman"/>
                <w:b/>
                <w:color w:val="0070C0"/>
                <w:sz w:val="28"/>
                <w:szCs w:val="28"/>
              </w:rPr>
              <w:t>СОВЕТ</w:t>
            </w:r>
          </w:p>
          <w:p w:rsidR="00336E4E" w:rsidRPr="00A1595B" w:rsidRDefault="00336E4E" w:rsidP="00115F8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70C0"/>
                <w:sz w:val="28"/>
                <w:szCs w:val="28"/>
              </w:rPr>
            </w:pPr>
            <w:r w:rsidRPr="00A1595B">
              <w:rPr>
                <w:rFonts w:ascii="Times Cyr Bash Normal" w:eastAsia="Times New Roman" w:hAnsi="Times Cyr Bash Normal" w:cs="Times New Roman"/>
                <w:b/>
                <w:color w:val="0070C0"/>
                <w:sz w:val="28"/>
                <w:szCs w:val="28"/>
              </w:rPr>
              <w:t>СЕЛЬСКОГО ПОСЕЛЕНИЯ</w:t>
            </w:r>
          </w:p>
          <w:p w:rsidR="00336E4E" w:rsidRPr="00A1595B" w:rsidRDefault="00336E4E" w:rsidP="00115F8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Cyr Bash Normal" w:eastAsia="Times New Roman" w:hAnsi="Times Cyr Bash Normal" w:cs="Times New Roman"/>
                <w:b/>
                <w:color w:val="0070C0"/>
                <w:sz w:val="28"/>
                <w:szCs w:val="28"/>
              </w:rPr>
              <w:t>БУРУНОВСКИЙ</w:t>
            </w:r>
            <w:r w:rsidRPr="00A1595B">
              <w:rPr>
                <w:rFonts w:ascii="Times Cyr Bash Normal" w:eastAsia="Times New Roman" w:hAnsi="Times Cyr Bash Normal" w:cs="Times New Roman"/>
                <w:b/>
                <w:color w:val="0070C0"/>
                <w:sz w:val="28"/>
                <w:szCs w:val="28"/>
              </w:rPr>
              <w:t xml:space="preserve"> СЕЛЬСОВЕТ</w:t>
            </w:r>
          </w:p>
          <w:p w:rsidR="00336E4E" w:rsidRPr="00A1595B" w:rsidRDefault="00336E4E" w:rsidP="00115F83">
            <w:pPr>
              <w:keepNext/>
              <w:spacing w:after="0" w:line="240" w:lineRule="auto"/>
              <w:jc w:val="center"/>
              <w:outlineLvl w:val="0"/>
              <w:rPr>
                <w:rFonts w:ascii="Times Cyr Bash Normal" w:eastAsia="Times New Roman" w:hAnsi="Times Cyr Bash Normal" w:cs="Times New Roman"/>
                <w:b/>
                <w:color w:val="0070C0"/>
                <w:spacing w:val="20"/>
                <w:sz w:val="20"/>
                <w:szCs w:val="20"/>
              </w:rPr>
            </w:pPr>
            <w:r w:rsidRPr="00A1595B">
              <w:rPr>
                <w:rFonts w:ascii="Times Cyr Bash Normal" w:eastAsia="Times New Roman" w:hAnsi="Times Cyr Bash Normal" w:cs="Times New Roman"/>
                <w:b/>
                <w:color w:val="0070C0"/>
                <w:spacing w:val="20"/>
                <w:sz w:val="20"/>
                <w:szCs w:val="20"/>
              </w:rPr>
              <w:t xml:space="preserve">МУНИЦИПАЛЬНОГО РАЙОНА ГАФУРИЙСКИЙ РАЙОН </w:t>
            </w:r>
          </w:p>
          <w:p w:rsidR="00336E4E" w:rsidRPr="00A1595B" w:rsidRDefault="00336E4E" w:rsidP="00115F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95B">
              <w:rPr>
                <w:rFonts w:ascii="Times Cyr Bash Normal" w:eastAsia="Times New Roman" w:hAnsi="Times Cyr Bash Normal" w:cs="Times New Roman"/>
                <w:b/>
                <w:color w:val="0070C0"/>
                <w:sz w:val="20"/>
                <w:szCs w:val="20"/>
              </w:rPr>
              <w:t>РЕСПУБЛИКИ БАШКОРТОСТАН</w:t>
            </w:r>
          </w:p>
        </w:tc>
      </w:tr>
      <w:tr w:rsidR="00336E4E" w:rsidRPr="00A1595B" w:rsidTr="00115F83">
        <w:trPr>
          <w:gridAfter w:val="1"/>
          <w:wAfter w:w="105" w:type="pct"/>
          <w:cantSplit/>
        </w:trPr>
        <w:tc>
          <w:tcPr>
            <w:tcW w:w="2262" w:type="pct"/>
          </w:tcPr>
          <w:p w:rsidR="00336E4E" w:rsidRPr="00A1595B" w:rsidRDefault="00336E4E" w:rsidP="00115F8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20"/>
              </w:rPr>
            </w:pPr>
          </w:p>
          <w:p w:rsidR="00336E4E" w:rsidRPr="00A1595B" w:rsidRDefault="00336E4E" w:rsidP="0011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20"/>
              </w:rPr>
            </w:pPr>
          </w:p>
          <w:p w:rsidR="00336E4E" w:rsidRPr="00A1595B" w:rsidRDefault="00336E4E" w:rsidP="00115F8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20"/>
              </w:rPr>
            </w:pPr>
          </w:p>
        </w:tc>
        <w:tc>
          <w:tcPr>
            <w:tcW w:w="725" w:type="pct"/>
            <w:vMerge/>
          </w:tcPr>
          <w:p w:rsidR="00336E4E" w:rsidRPr="00A1595B" w:rsidRDefault="00336E4E" w:rsidP="00115F83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20"/>
              </w:rPr>
            </w:pPr>
          </w:p>
        </w:tc>
        <w:tc>
          <w:tcPr>
            <w:tcW w:w="1907" w:type="pct"/>
          </w:tcPr>
          <w:p w:rsidR="00336E4E" w:rsidRPr="00A1595B" w:rsidRDefault="00336E4E" w:rsidP="00115F83">
            <w:pPr>
              <w:spacing w:after="0" w:line="240" w:lineRule="auto"/>
              <w:ind w:left="460"/>
              <w:rPr>
                <w:rFonts w:ascii="Arial" w:eastAsia="Times New Roman" w:hAnsi="Arial" w:cs="Arial"/>
                <w:color w:val="0070C0"/>
                <w:sz w:val="16"/>
                <w:szCs w:val="20"/>
              </w:rPr>
            </w:pPr>
          </w:p>
          <w:p w:rsidR="00336E4E" w:rsidRPr="00A1595B" w:rsidRDefault="00336E4E" w:rsidP="00115F83">
            <w:pPr>
              <w:spacing w:after="0" w:line="240" w:lineRule="auto"/>
              <w:ind w:left="460"/>
              <w:jc w:val="center"/>
              <w:rPr>
                <w:rFonts w:ascii="Arial" w:eastAsia="Times New Roman" w:hAnsi="Arial" w:cs="Arial"/>
                <w:color w:val="0070C0"/>
                <w:sz w:val="16"/>
                <w:szCs w:val="20"/>
              </w:rPr>
            </w:pPr>
          </w:p>
        </w:tc>
      </w:tr>
      <w:tr w:rsidR="00336E4E" w:rsidRPr="00A1595B" w:rsidTr="00115F83">
        <w:tblPrEx>
          <w:tblBorders>
            <w:bottom w:val="thickThinMediumGap" w:sz="18" w:space="0" w:color="auto"/>
          </w:tblBorders>
          <w:shd w:val="clear" w:color="auto" w:fill="0070C0"/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  <w:shd w:val="clear" w:color="auto" w:fill="0070C0"/>
          </w:tcPr>
          <w:p w:rsidR="00336E4E" w:rsidRPr="00A1595B" w:rsidRDefault="00336E4E" w:rsidP="0011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"/>
                <w:szCs w:val="20"/>
              </w:rPr>
            </w:pPr>
          </w:p>
        </w:tc>
      </w:tr>
    </w:tbl>
    <w:p w:rsidR="00336E4E" w:rsidRPr="00A1595B" w:rsidRDefault="00336E4E" w:rsidP="00336E4E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16"/>
          <w:szCs w:val="20"/>
        </w:rPr>
      </w:pPr>
    </w:p>
    <w:tbl>
      <w:tblPr>
        <w:tblW w:w="0" w:type="auto"/>
        <w:tblLook w:val="04A0"/>
      </w:tblPr>
      <w:tblGrid>
        <w:gridCol w:w="3205"/>
        <w:gridCol w:w="3098"/>
        <w:gridCol w:w="3268"/>
      </w:tblGrid>
      <w:tr w:rsidR="00336E4E" w:rsidRPr="00A1595B" w:rsidTr="00115F83">
        <w:tc>
          <w:tcPr>
            <w:tcW w:w="3473" w:type="dxa"/>
            <w:shd w:val="clear" w:color="auto" w:fill="auto"/>
          </w:tcPr>
          <w:p w:rsidR="00336E4E" w:rsidRPr="00A1595B" w:rsidRDefault="00336E4E" w:rsidP="0011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ATimes" w:char="F04B"/>
            </w:r>
            <w:r w:rsidRPr="00A15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АРАР</w:t>
            </w:r>
          </w:p>
        </w:tc>
        <w:tc>
          <w:tcPr>
            <w:tcW w:w="3474" w:type="dxa"/>
            <w:shd w:val="clear" w:color="auto" w:fill="auto"/>
          </w:tcPr>
          <w:p w:rsidR="00336E4E" w:rsidRPr="00A1595B" w:rsidRDefault="00336E4E" w:rsidP="0011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336E4E" w:rsidRPr="00A1595B" w:rsidRDefault="00336E4E" w:rsidP="0011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РЕШЕНИЕ</w:t>
            </w:r>
          </w:p>
        </w:tc>
      </w:tr>
    </w:tbl>
    <w:p w:rsidR="00336E4E" w:rsidRDefault="00336E4E" w:rsidP="00336E4E">
      <w:pPr>
        <w:pStyle w:val="a3"/>
        <w:tabs>
          <w:tab w:val="left" w:pos="103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6E4E" w:rsidRDefault="00336E4E" w:rsidP="00336E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1E9">
        <w:rPr>
          <w:rFonts w:ascii="Times New Roman" w:hAnsi="Times New Roman" w:cs="Times New Roman"/>
          <w:b/>
          <w:sz w:val="26"/>
          <w:szCs w:val="26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Буруновский сельсовет 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6"/>
          <w:szCs w:val="26"/>
        </w:rPr>
        <w:t xml:space="preserve">Гафурийский район Республики 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Башкортостан на территориальную избирательную комиссию муниципального района </w:t>
      </w:r>
      <w:r>
        <w:rPr>
          <w:rFonts w:ascii="Times New Roman" w:hAnsi="Times New Roman" w:cs="Times New Roman"/>
          <w:b/>
          <w:sz w:val="26"/>
          <w:szCs w:val="26"/>
        </w:rPr>
        <w:t>Гафурийский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336E4E" w:rsidRDefault="00336E4E" w:rsidP="0033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E4E" w:rsidRPr="005651E9" w:rsidRDefault="00336E4E" w:rsidP="0033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E4E" w:rsidRPr="004B6F44" w:rsidRDefault="00336E4E" w:rsidP="00336E4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F44">
        <w:rPr>
          <w:rFonts w:ascii="Times New Roman" w:hAnsi="Times New Roman" w:cs="Times New Roman"/>
          <w:sz w:val="24"/>
          <w:szCs w:val="24"/>
        </w:rPr>
        <w:t xml:space="preserve">Руководствуясь пунктом 4 статьи 24 </w:t>
      </w:r>
      <w:r w:rsidRPr="004B6F44">
        <w:rPr>
          <w:rFonts w:ascii="Times New Roman" w:hAnsi="Times New Roman"/>
          <w:sz w:val="24"/>
          <w:szCs w:val="24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4 статьи 21 Устава сельского поселения Буруновский сельсовет муниципального района Гафурийский район Республики Башкортостан, Совет сельского поселения Буруновский сельсовет муниципального района Гафурийский район Республики Башкортостан решил:</w:t>
      </w:r>
      <w:proofErr w:type="gramEnd"/>
    </w:p>
    <w:p w:rsidR="00336E4E" w:rsidRPr="004B6F44" w:rsidRDefault="00336E4E" w:rsidP="00336E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F44">
        <w:rPr>
          <w:rFonts w:ascii="Times New Roman" w:hAnsi="Times New Roman" w:cs="Times New Roman"/>
          <w:sz w:val="24"/>
          <w:szCs w:val="24"/>
        </w:rPr>
        <w:t xml:space="preserve">1.Просить Центральную избирательную комиссию Республики Башкортостан возложить полномочия избирательной комиссии сельского поселения </w:t>
      </w:r>
      <w:r w:rsidRPr="004B6F44">
        <w:rPr>
          <w:rFonts w:ascii="Times New Roman" w:hAnsi="Times New Roman"/>
          <w:sz w:val="24"/>
          <w:szCs w:val="24"/>
        </w:rPr>
        <w:t>Буруновский</w:t>
      </w:r>
      <w:r w:rsidRPr="004B6F4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Гафурийский район Республики Башкортостан на территориальную избирательную комиссию муниципального района Гафурийский район Республики Башкортостан, формирующуюся в декабре 2020 года.</w:t>
      </w:r>
    </w:p>
    <w:p w:rsidR="00336E4E" w:rsidRPr="004B6F44" w:rsidRDefault="00336E4E" w:rsidP="00336E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F44">
        <w:rPr>
          <w:rFonts w:ascii="Times New Roman" w:hAnsi="Times New Roman" w:cs="Times New Roman"/>
          <w:sz w:val="24"/>
          <w:szCs w:val="24"/>
        </w:rPr>
        <w:t>2.Направить настоящее решение в Центральную избирательную комиссию Республики Башкортостан.</w:t>
      </w:r>
    </w:p>
    <w:p w:rsidR="00336E4E" w:rsidRPr="004B6F44" w:rsidRDefault="00336E4E" w:rsidP="00336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E4E" w:rsidRDefault="00336E4E" w:rsidP="00336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F4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336E4E" w:rsidRDefault="00336E4E" w:rsidP="00336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Буруновский сельсовет</w:t>
      </w:r>
    </w:p>
    <w:p w:rsidR="00336E4E" w:rsidRDefault="00336E4E" w:rsidP="00336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:rsidR="00336E4E" w:rsidRPr="004B6F44" w:rsidRDefault="00336E4E" w:rsidP="00336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Гафурийский район РБ                                              М.Ф. Рахматуллин.</w:t>
      </w:r>
      <w:r w:rsidRPr="004B6F4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36E4E" w:rsidRPr="004B6F44" w:rsidRDefault="00336E4E" w:rsidP="00336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F44">
        <w:rPr>
          <w:rFonts w:ascii="Times New Roman" w:hAnsi="Times New Roman" w:cs="Times New Roman"/>
          <w:sz w:val="24"/>
          <w:szCs w:val="24"/>
        </w:rPr>
        <w:t>с.</w:t>
      </w:r>
      <w:r w:rsidRPr="004B6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F44">
        <w:rPr>
          <w:rFonts w:ascii="Times New Roman" w:hAnsi="Times New Roman"/>
          <w:sz w:val="24"/>
          <w:szCs w:val="24"/>
        </w:rPr>
        <w:t>Буруновка</w:t>
      </w:r>
      <w:proofErr w:type="spellEnd"/>
      <w:r w:rsidRPr="004B6F44">
        <w:rPr>
          <w:rFonts w:ascii="Times New Roman" w:hAnsi="Times New Roman" w:cs="Times New Roman"/>
          <w:sz w:val="24"/>
          <w:szCs w:val="24"/>
        </w:rPr>
        <w:t>.</w:t>
      </w:r>
    </w:p>
    <w:p w:rsidR="00336E4E" w:rsidRPr="004B6F44" w:rsidRDefault="00336E4E" w:rsidP="00336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F44">
        <w:rPr>
          <w:rFonts w:ascii="Times New Roman" w:hAnsi="Times New Roman" w:cs="Times New Roman"/>
          <w:sz w:val="24"/>
          <w:szCs w:val="24"/>
        </w:rPr>
        <w:t>от 26.11.2020г.</w:t>
      </w:r>
    </w:p>
    <w:p w:rsidR="00336E4E" w:rsidRDefault="00336E4E" w:rsidP="00336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F44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4B6F44">
        <w:rPr>
          <w:rFonts w:ascii="Times New Roman" w:hAnsi="Times New Roman" w:cs="Times New Roman"/>
          <w:sz w:val="24"/>
          <w:szCs w:val="24"/>
        </w:rPr>
        <w:t xml:space="preserve"> 56-117</w:t>
      </w:r>
    </w:p>
    <w:p w:rsidR="00F77C50" w:rsidRDefault="00F77C50"/>
    <w:sectPr w:rsidR="00F7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E4E"/>
    <w:rsid w:val="00336E4E"/>
    <w:rsid w:val="00F7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E4E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2020-12-26T05:43:00Z</dcterms:created>
  <dcterms:modified xsi:type="dcterms:W3CDTF">2020-12-26T05:43:00Z</dcterms:modified>
</cp:coreProperties>
</file>